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E73760" w:rsidRDefault="00E73760" w:rsidP="00E73760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>
        <w:rPr>
          <w:rFonts w:asciiTheme="minorHAnsi" w:hAnsiTheme="minorHAnsi" w:cs="Calibri"/>
          <w:b/>
          <w:sz w:val="40"/>
          <w:szCs w:val="40"/>
        </w:rPr>
        <w:t>”</w:t>
      </w:r>
    </w:p>
    <w:p w:rsidR="00E73760" w:rsidRDefault="00E73760" w:rsidP="00E73760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73760" w:rsidRDefault="00E73760" w:rsidP="00E7376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CODICE PROGETTO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0"/>
        </w:rPr>
        <w:t>2201803060457</w:t>
      </w:r>
    </w:p>
    <w:p w:rsidR="00E73760" w:rsidRDefault="00E73760" w:rsidP="00E7376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F207D2" w:rsidRPr="00C41171" w:rsidRDefault="00F207D2" w:rsidP="00F207D2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F207D2" w:rsidRPr="00C41171" w:rsidRDefault="00F207D2" w:rsidP="00F207D2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 xml:space="preserve">del D. </w:t>
      </w:r>
      <w:proofErr w:type="spellStart"/>
      <w:r w:rsidRPr="00C41171">
        <w:rPr>
          <w:rFonts w:asciiTheme="minorHAnsi" w:hAnsiTheme="minorHAnsi"/>
          <w:sz w:val="28"/>
          <w:szCs w:val="28"/>
        </w:rPr>
        <w:t>Lgs</w:t>
      </w:r>
      <w:proofErr w:type="spellEnd"/>
      <w:r w:rsidRPr="00C41171">
        <w:rPr>
          <w:rFonts w:asciiTheme="minorHAnsi" w:hAnsiTheme="minorHAnsi"/>
          <w:sz w:val="28"/>
          <w:szCs w:val="28"/>
        </w:rPr>
        <w:t>. n. 196/2003)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giuridico-economica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dell’interessato. Lo stesso gode dei diritti di cui ai citati GDPR n. 679/2016 e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D.Lgs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196/2003.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Titolare del Trattamento è l’Istituto comprensivo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Sperone-Pertini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di Palermo Via N.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Giannotta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n. 4 nella persona del Dirigente Scolastico Prof.ssa Antonella Di Bartolo.</w:t>
      </w:r>
    </w:p>
    <w:p w:rsidR="00F207D2" w:rsidRPr="00C41171" w:rsidRDefault="00F207D2" w:rsidP="00F207D2">
      <w:pPr>
        <w:numPr>
          <w:ilvl w:val="0"/>
          <w:numId w:val="33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F207D2" w:rsidRPr="00C41171" w:rsidRDefault="00F207D2" w:rsidP="00F207D2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F207D2" w:rsidRPr="00C41171" w:rsidRDefault="00F207D2" w:rsidP="00F207D2">
      <w:pPr>
        <w:numPr>
          <w:ilvl w:val="0"/>
          <w:numId w:val="34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F207D2" w:rsidRPr="00C41171" w:rsidRDefault="00F207D2" w:rsidP="00F207D2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F207D2" w:rsidRPr="00C41171" w:rsidRDefault="00F207D2" w:rsidP="00F207D2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F207D2" w:rsidRPr="00C41171" w:rsidRDefault="00F207D2" w:rsidP="00F207D2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D. </w:t>
      </w:r>
      <w:proofErr w:type="spellStart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Lgs</w:t>
      </w:r>
      <w:proofErr w:type="spellEnd"/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</w:t>
      </w:r>
      <w:proofErr w:type="spellStart"/>
      <w:r>
        <w:rPr>
          <w:rFonts w:asciiTheme="minorHAnsi" w:hAnsiTheme="minorHAnsi"/>
          <w:snapToGrid w:val="0"/>
          <w:color w:val="000000"/>
          <w:sz w:val="22"/>
          <w:szCs w:val="22"/>
        </w:rPr>
        <w:t>DL</w:t>
      </w:r>
      <w:proofErr w:type="spellEnd"/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F207D2" w:rsidRPr="00C41171" w:rsidRDefault="00F207D2" w:rsidP="00F207D2">
      <w:pPr>
        <w:jc w:val="both"/>
        <w:rPr>
          <w:rFonts w:asciiTheme="minorHAnsi" w:hAnsiTheme="minorHAnsi"/>
          <w:sz w:val="22"/>
          <w:szCs w:val="22"/>
        </w:rPr>
      </w:pPr>
    </w:p>
    <w:p w:rsidR="00F207D2" w:rsidRPr="00C41171" w:rsidRDefault="00F207D2" w:rsidP="00F207D2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F207D2" w:rsidRPr="00AC2CC0" w:rsidRDefault="00F207D2" w:rsidP="00F207D2">
      <w:pPr>
        <w:spacing w:line="360" w:lineRule="auto"/>
        <w:jc w:val="center"/>
      </w:pPr>
    </w:p>
    <w:p w:rsidR="00F207D2" w:rsidRPr="00AC2CC0" w:rsidRDefault="00F207D2" w:rsidP="00F207D2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F207D2" w:rsidRDefault="00F207D2" w:rsidP="00F207D2">
      <w:pPr>
        <w:spacing w:line="360" w:lineRule="auto"/>
      </w:pPr>
    </w:p>
    <w:p w:rsidR="00F207D2" w:rsidRDefault="00F207D2" w:rsidP="00F207D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F207D2" w:rsidRDefault="00F207D2" w:rsidP="00F207D2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110A74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E73760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E73760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E73760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F207D2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  <w:r w:rsidR="00C31AC1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7376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E73760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E73760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F207D2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  <w:r w:rsidR="00D359CA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7376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110A74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8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2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5"/>
  </w:num>
  <w:num w:numId="5">
    <w:abstractNumId w:val="23"/>
  </w:num>
  <w:num w:numId="6">
    <w:abstractNumId w:val="12"/>
  </w:num>
  <w:num w:numId="7">
    <w:abstractNumId w:val="10"/>
  </w:num>
  <w:num w:numId="8">
    <w:abstractNumId w:val="26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2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9"/>
  </w:num>
  <w:num w:numId="23">
    <w:abstractNumId w:val="30"/>
  </w:num>
  <w:num w:numId="24">
    <w:abstractNumId w:val="15"/>
  </w:num>
  <w:num w:numId="25">
    <w:abstractNumId w:val="2"/>
  </w:num>
  <w:num w:numId="26">
    <w:abstractNumId w:val="28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4"/>
  </w:num>
  <w:num w:numId="32">
    <w:abstractNumId w:val="2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0A74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73760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7D2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5041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2019-10-14T20:50:00Z</dcterms:created>
  <dcterms:modified xsi:type="dcterms:W3CDTF">2019-10-14T20:50:00Z</dcterms:modified>
</cp:coreProperties>
</file>